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62" w:rsidRPr="00724451" w:rsidRDefault="006D6152" w:rsidP="00724451">
      <w:pPr>
        <w:pStyle w:val="CM3"/>
        <w:contextualSpacing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724451">
        <w:rPr>
          <w:rFonts w:asciiTheme="majorHAnsi" w:hAnsiTheme="majorHAnsi" w:cs="Calibri"/>
          <w:b/>
          <w:bCs/>
          <w:color w:val="000000"/>
          <w:sz w:val="22"/>
          <w:szCs w:val="22"/>
        </w:rPr>
        <w:t>NO JEWELRY</w:t>
      </w:r>
      <w:r w:rsidRPr="00724451">
        <w:rPr>
          <w:rFonts w:asciiTheme="majorHAnsi" w:hAnsiTheme="majorHAnsi" w:cs="Calibri"/>
          <w:color w:val="000000"/>
          <w:sz w:val="22"/>
          <w:szCs w:val="22"/>
        </w:rPr>
        <w:t xml:space="preserve">. </w:t>
      </w:r>
      <w:r w:rsidR="00EE1E62" w:rsidRPr="0072445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724451">
        <w:rPr>
          <w:rFonts w:asciiTheme="majorHAnsi" w:hAnsiTheme="majorHAnsi" w:cs="Calibri"/>
          <w:color w:val="000000"/>
          <w:sz w:val="22"/>
          <w:szCs w:val="22"/>
        </w:rPr>
        <w:t>I understand that the rules of FIF</w:t>
      </w:r>
      <w:r w:rsidR="00EE1E62" w:rsidRPr="00724451">
        <w:rPr>
          <w:rFonts w:asciiTheme="majorHAnsi" w:hAnsiTheme="majorHAnsi" w:cs="Calibri"/>
          <w:color w:val="000000"/>
          <w:sz w:val="22"/>
          <w:szCs w:val="22"/>
        </w:rPr>
        <w:t>A</w:t>
      </w:r>
      <w:r w:rsidRPr="00724451">
        <w:rPr>
          <w:rFonts w:asciiTheme="majorHAnsi" w:hAnsiTheme="majorHAnsi" w:cs="Calibri"/>
          <w:color w:val="000000"/>
          <w:sz w:val="22"/>
          <w:szCs w:val="22"/>
        </w:rPr>
        <w:t xml:space="preserve"> and the Sacramento Valley Women’s Soccer League (“SVWSL”) prohibit the wearing of jewelry during league matches.</w:t>
      </w:r>
      <w:r w:rsidR="00EE1E62" w:rsidRPr="0072445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724451">
        <w:rPr>
          <w:rFonts w:asciiTheme="majorHAnsi" w:hAnsiTheme="majorHAnsi" w:cs="Calibri"/>
          <w:color w:val="000000"/>
          <w:sz w:val="22"/>
          <w:szCs w:val="22"/>
        </w:rPr>
        <w:t xml:space="preserve">I understand that before I can play in any league match, the referee will ask me to remove any and all jewelry, including but not limited to, rings, necklaces, earrings, nose rings and eyebrow rings. I understand that these rules also apply to permanent and non-removable jewelry. </w:t>
      </w:r>
    </w:p>
    <w:p w:rsidR="00724451" w:rsidRPr="00724451" w:rsidRDefault="00724451" w:rsidP="00724451">
      <w:pPr>
        <w:spacing w:before="100" w:beforeAutospacing="1" w:after="100" w:afterAutospacing="1" w:line="240" w:lineRule="auto"/>
        <w:rPr>
          <w:rFonts w:asciiTheme="majorHAnsi" w:hAnsiTheme="majorHAnsi"/>
          <w:color w:val="000000"/>
        </w:rPr>
      </w:pPr>
      <w:r w:rsidRPr="00724451">
        <w:rPr>
          <w:rFonts w:asciiTheme="majorHAnsi" w:hAnsiTheme="majorHAnsi"/>
          <w:b/>
          <w:bCs/>
          <w:color w:val="000000"/>
        </w:rPr>
        <w:t>NO DOGS</w:t>
      </w:r>
      <w:r w:rsidRPr="00724451">
        <w:rPr>
          <w:rFonts w:asciiTheme="majorHAnsi" w:hAnsiTheme="majorHAnsi"/>
          <w:color w:val="000000"/>
        </w:rPr>
        <w:t>. I understand that SVWSL does not allow dogs at any field site where no dogs are allowed is posted. I understand that my team will forfeit its game and will pay applicable forfeit fees if any team member, coach or spectator of my team refuses to remove a dog upon request from any field site where no dogs are allowed is posted.</w:t>
      </w:r>
    </w:p>
    <w:p w:rsidR="00FD73F4" w:rsidRPr="00724451" w:rsidRDefault="006D6152" w:rsidP="00724451">
      <w:pPr>
        <w:pStyle w:val="CM3"/>
        <w:spacing w:after="220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724451">
        <w:rPr>
          <w:rFonts w:asciiTheme="majorHAnsi" w:hAnsiTheme="majorHAnsi" w:cs="Calibri"/>
          <w:b/>
          <w:bCs/>
          <w:color w:val="000000"/>
          <w:sz w:val="22"/>
          <w:szCs w:val="22"/>
        </w:rPr>
        <w:t>NO REFUNDS</w:t>
      </w:r>
      <w:r w:rsidRPr="00724451">
        <w:rPr>
          <w:rFonts w:asciiTheme="majorHAnsi" w:hAnsiTheme="majorHAnsi" w:cs="Calibri"/>
          <w:color w:val="000000"/>
          <w:sz w:val="22"/>
          <w:szCs w:val="22"/>
        </w:rPr>
        <w:t xml:space="preserve">. I understand that SVWSL is not responsible for refunding any registration fees or other league fees if I choose to acquire permanent or non-removable jewelry during the season, or if I otherwise choose not to comply with these rules. </w:t>
      </w:r>
    </w:p>
    <w:p w:rsidR="00FD73F4" w:rsidRPr="00724451" w:rsidRDefault="006D6152" w:rsidP="00EE1E62">
      <w:pPr>
        <w:pStyle w:val="Default"/>
        <w:pBdr>
          <w:bottom w:val="single" w:sz="4" w:space="1" w:color="auto"/>
        </w:pBdr>
        <w:spacing w:after="380"/>
        <w:rPr>
          <w:rFonts w:asciiTheme="majorHAnsi" w:hAnsiTheme="majorHAnsi" w:cs="Book Antiqua"/>
          <w:b/>
          <w:sz w:val="22"/>
          <w:szCs w:val="22"/>
        </w:rPr>
      </w:pPr>
      <w:r w:rsidRPr="00724451">
        <w:rPr>
          <w:rFonts w:asciiTheme="majorHAnsi" w:hAnsiTheme="majorHAnsi" w:cs="Book Antiqua"/>
          <w:b/>
          <w:sz w:val="22"/>
          <w:szCs w:val="22"/>
        </w:rPr>
        <w:t xml:space="preserve">TEAM NAME: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14"/>
        <w:gridCol w:w="3831"/>
        <w:gridCol w:w="2937"/>
      </w:tblGrid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b/>
                <w:sz w:val="22"/>
                <w:szCs w:val="22"/>
              </w:rPr>
              <w:t>Print Name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b/>
                <w:sz w:val="22"/>
                <w:szCs w:val="22"/>
              </w:rPr>
              <w:t>Signature</w:t>
            </w: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b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b/>
                <w:sz w:val="22"/>
                <w:szCs w:val="22"/>
              </w:rPr>
              <w:t>Date</w:t>
            </w: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4.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6.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7.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8.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9.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10.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11.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12.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13.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14.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15.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16.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17.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18.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19.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20.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21.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EE1E62" w:rsidRPr="00724451" w:rsidTr="003E0087">
        <w:trPr>
          <w:trHeight w:val="331"/>
        </w:trPr>
        <w:tc>
          <w:tcPr>
            <w:tcW w:w="396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 w:rsidRPr="00724451">
              <w:rPr>
                <w:rFonts w:asciiTheme="majorHAnsi" w:hAnsiTheme="majorHAnsi" w:cs="Book Antiqua"/>
                <w:sz w:val="22"/>
                <w:szCs w:val="22"/>
              </w:rPr>
              <w:t>22.</w:t>
            </w:r>
          </w:p>
        </w:tc>
        <w:tc>
          <w:tcPr>
            <w:tcW w:w="38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EE1E62" w:rsidRPr="00724451" w:rsidRDefault="00EE1E62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724451" w:rsidRPr="00724451" w:rsidTr="003E0087">
        <w:trPr>
          <w:trHeight w:val="331"/>
        </w:trPr>
        <w:tc>
          <w:tcPr>
            <w:tcW w:w="3960" w:type="dxa"/>
          </w:tcPr>
          <w:p w:rsidR="00724451" w:rsidRPr="00724451" w:rsidRDefault="00724451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23.</w:t>
            </w:r>
          </w:p>
        </w:tc>
        <w:tc>
          <w:tcPr>
            <w:tcW w:w="3870" w:type="dxa"/>
          </w:tcPr>
          <w:p w:rsidR="00724451" w:rsidRPr="00724451" w:rsidRDefault="00724451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724451" w:rsidRPr="00724451" w:rsidRDefault="00724451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724451" w:rsidRPr="00724451" w:rsidTr="003E0087">
        <w:trPr>
          <w:trHeight w:val="331"/>
        </w:trPr>
        <w:tc>
          <w:tcPr>
            <w:tcW w:w="3960" w:type="dxa"/>
          </w:tcPr>
          <w:p w:rsidR="00724451" w:rsidRPr="00724451" w:rsidRDefault="00724451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24.</w:t>
            </w:r>
          </w:p>
        </w:tc>
        <w:tc>
          <w:tcPr>
            <w:tcW w:w="3870" w:type="dxa"/>
          </w:tcPr>
          <w:p w:rsidR="00724451" w:rsidRPr="00724451" w:rsidRDefault="00724451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724451" w:rsidRPr="00724451" w:rsidRDefault="00724451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3E0087" w:rsidRPr="00724451" w:rsidTr="003E0087">
        <w:trPr>
          <w:trHeight w:val="331"/>
        </w:trPr>
        <w:tc>
          <w:tcPr>
            <w:tcW w:w="3960" w:type="dxa"/>
          </w:tcPr>
          <w:p w:rsidR="003E0087" w:rsidRDefault="003E0087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25.</w:t>
            </w:r>
          </w:p>
        </w:tc>
        <w:tc>
          <w:tcPr>
            <w:tcW w:w="3870" w:type="dxa"/>
          </w:tcPr>
          <w:p w:rsidR="003E0087" w:rsidRPr="00724451" w:rsidRDefault="003E0087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3E0087" w:rsidRPr="00724451" w:rsidRDefault="003E0087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  <w:tr w:rsidR="003E0087" w:rsidRPr="00724451" w:rsidTr="003E0087">
        <w:trPr>
          <w:trHeight w:val="331"/>
        </w:trPr>
        <w:tc>
          <w:tcPr>
            <w:tcW w:w="3960" w:type="dxa"/>
          </w:tcPr>
          <w:p w:rsidR="003E0087" w:rsidRDefault="003E0087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  <w:r>
              <w:rPr>
                <w:rFonts w:asciiTheme="majorHAnsi" w:hAnsiTheme="majorHAnsi" w:cs="Book Antiqua"/>
                <w:sz w:val="22"/>
                <w:szCs w:val="22"/>
              </w:rPr>
              <w:t>26.</w:t>
            </w:r>
          </w:p>
        </w:tc>
        <w:tc>
          <w:tcPr>
            <w:tcW w:w="3870" w:type="dxa"/>
          </w:tcPr>
          <w:p w:rsidR="003E0087" w:rsidRPr="00724451" w:rsidRDefault="003E0087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  <w:tc>
          <w:tcPr>
            <w:tcW w:w="2970" w:type="dxa"/>
          </w:tcPr>
          <w:p w:rsidR="003E0087" w:rsidRPr="00724451" w:rsidRDefault="003E0087">
            <w:pPr>
              <w:pStyle w:val="Default"/>
              <w:rPr>
                <w:rFonts w:asciiTheme="majorHAnsi" w:hAnsiTheme="majorHAnsi" w:cs="Book Antiqua"/>
                <w:sz w:val="22"/>
                <w:szCs w:val="22"/>
              </w:rPr>
            </w:pPr>
          </w:p>
        </w:tc>
      </w:tr>
    </w:tbl>
    <w:p w:rsidR="006D6152" w:rsidRPr="00724451" w:rsidRDefault="006D6152" w:rsidP="00724451">
      <w:pPr>
        <w:pStyle w:val="Default"/>
        <w:rPr>
          <w:rFonts w:asciiTheme="majorHAnsi" w:hAnsiTheme="majorHAnsi" w:cs="Book Antiqua"/>
          <w:sz w:val="22"/>
          <w:szCs w:val="22"/>
        </w:rPr>
      </w:pPr>
    </w:p>
    <w:sectPr w:rsidR="006D6152" w:rsidRPr="00724451" w:rsidSect="00724451">
      <w:headerReference w:type="default" r:id="rId7"/>
      <w:pgSz w:w="12240" w:h="16340"/>
      <w:pgMar w:top="720" w:right="720" w:bottom="720" w:left="72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02" w:rsidRDefault="00834502" w:rsidP="00EE1E62">
      <w:pPr>
        <w:spacing w:after="0" w:line="240" w:lineRule="auto"/>
      </w:pPr>
      <w:r>
        <w:separator/>
      </w:r>
    </w:p>
  </w:endnote>
  <w:endnote w:type="continuationSeparator" w:id="0">
    <w:p w:rsidR="00834502" w:rsidRDefault="00834502" w:rsidP="00EE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02" w:rsidRDefault="00834502" w:rsidP="00EE1E62">
      <w:pPr>
        <w:spacing w:after="0" w:line="240" w:lineRule="auto"/>
      </w:pPr>
      <w:r>
        <w:separator/>
      </w:r>
    </w:p>
  </w:footnote>
  <w:footnote w:type="continuationSeparator" w:id="0">
    <w:p w:rsidR="00834502" w:rsidRDefault="00834502" w:rsidP="00EE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62" w:rsidRDefault="00EE1E62" w:rsidP="00EE1E62">
    <w:pPr>
      <w:pStyle w:val="CM3"/>
      <w:spacing w:after="220" w:line="451" w:lineRule="atLeast"/>
      <w:jc w:val="center"/>
      <w:rPr>
        <w:rFonts w:cs="Calibri"/>
        <w:color w:val="000000"/>
        <w:sz w:val="32"/>
        <w:szCs w:val="32"/>
      </w:rPr>
    </w:pPr>
    <w:r>
      <w:rPr>
        <w:rFonts w:cs="Calibri"/>
        <w:b/>
        <w:bCs/>
        <w:color w:val="000000"/>
        <w:sz w:val="32"/>
        <w:szCs w:val="32"/>
      </w:rPr>
      <w:t xml:space="preserve">Acknowledgement of Jewelry Policy and No Dog Policy Sacramento Valley Women's Soccer League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1F1839"/>
    <w:multiLevelType w:val="hybridMultilevel"/>
    <w:tmpl w:val="F340DE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1"/>
    <w:rsid w:val="00140B19"/>
    <w:rsid w:val="003232D6"/>
    <w:rsid w:val="003E0087"/>
    <w:rsid w:val="00473D6F"/>
    <w:rsid w:val="006D6152"/>
    <w:rsid w:val="00724451"/>
    <w:rsid w:val="00834502"/>
    <w:rsid w:val="00C06871"/>
    <w:rsid w:val="00EE1E62"/>
    <w:rsid w:val="00EF4671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88E60D5-6624-4B2F-A581-505A6E8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3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D73F4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FD73F4"/>
    <w:pPr>
      <w:spacing w:line="31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EE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62"/>
  </w:style>
  <w:style w:type="paragraph" w:styleId="Footer">
    <w:name w:val="footer"/>
    <w:basedOn w:val="Normal"/>
    <w:link w:val="FooterChar"/>
    <w:uiPriority w:val="99"/>
    <w:semiHidden/>
    <w:unhideWhenUsed/>
    <w:rsid w:val="00EE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Valley Women's Soccer League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Valley Women's Soccer League</dc:title>
  <dc:subject/>
  <dc:creator>McDonough, Holland &amp; Allen</dc:creator>
  <cp:keywords/>
  <dc:description/>
  <cp:lastModifiedBy>Ramil. Heather</cp:lastModifiedBy>
  <cp:revision>2</cp:revision>
  <dcterms:created xsi:type="dcterms:W3CDTF">2021-06-08T22:46:00Z</dcterms:created>
  <dcterms:modified xsi:type="dcterms:W3CDTF">2021-06-08T22:46:00Z</dcterms:modified>
</cp:coreProperties>
</file>